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C5C9A" w:rsidRPr="00AC5C9A">
        <w:trPr>
          <w:tblCellSpacing w:w="0" w:type="dxa"/>
          <w:jc w:val="center"/>
        </w:trPr>
        <w:tc>
          <w:tcPr>
            <w:tcW w:w="0" w:type="auto"/>
            <w:tcMar>
              <w:top w:w="30" w:type="dxa"/>
              <w:left w:w="0" w:type="dxa"/>
              <w:bottom w:w="150" w:type="dxa"/>
              <w:right w:w="0" w:type="dxa"/>
            </w:tcMar>
            <w:vAlign w:val="center"/>
            <w:hideMark/>
          </w:tcPr>
          <w:p w:rsidR="00AC5C9A" w:rsidRPr="00AC5C9A" w:rsidRDefault="00AC5C9A" w:rsidP="00AC5C9A">
            <w:pPr>
              <w:widowControl/>
              <w:spacing w:line="360" w:lineRule="auto"/>
              <w:jc w:val="center"/>
              <w:rPr>
                <w:rFonts w:ascii="ˎ̥" w:eastAsia="宋体" w:hAnsi="ˎ̥" w:cs="Arial" w:hint="eastAsia"/>
                <w:b/>
                <w:bCs/>
                <w:color w:val="093A96"/>
                <w:kern w:val="0"/>
                <w:sz w:val="33"/>
                <w:szCs w:val="33"/>
              </w:rPr>
            </w:pPr>
            <w:r w:rsidRPr="00AC5C9A">
              <w:rPr>
                <w:rFonts w:ascii="ˎ̥" w:eastAsia="宋体" w:hAnsi="ˎ̥" w:cs="Arial"/>
                <w:b/>
                <w:bCs/>
                <w:color w:val="093A96"/>
                <w:kern w:val="0"/>
                <w:sz w:val="33"/>
                <w:szCs w:val="33"/>
              </w:rPr>
              <w:t>《中华人民共和国药品管理法实施条例》》（国务院令第</w:t>
            </w:r>
            <w:r w:rsidRPr="00AC5C9A">
              <w:rPr>
                <w:rFonts w:ascii="ˎ̥" w:eastAsia="宋体" w:hAnsi="ˎ̥" w:cs="Arial"/>
                <w:b/>
                <w:bCs/>
                <w:color w:val="093A96"/>
                <w:kern w:val="0"/>
                <w:sz w:val="33"/>
                <w:szCs w:val="33"/>
              </w:rPr>
              <w:t>360</w:t>
            </w:r>
            <w:r w:rsidRPr="00AC5C9A">
              <w:rPr>
                <w:rFonts w:ascii="ˎ̥" w:eastAsia="宋体" w:hAnsi="ˎ̥" w:cs="Arial"/>
                <w:b/>
                <w:bCs/>
                <w:color w:val="093A96"/>
                <w:kern w:val="0"/>
                <w:sz w:val="33"/>
                <w:szCs w:val="33"/>
              </w:rPr>
              <w:t>号）</w:t>
            </w:r>
            <w:r w:rsidRPr="00AC5C9A">
              <w:rPr>
                <w:rFonts w:ascii="ˎ̥" w:eastAsia="宋体" w:hAnsi="ˎ̥" w:cs="Arial"/>
                <w:b/>
                <w:bCs/>
                <w:color w:val="093A96"/>
                <w:kern w:val="0"/>
                <w:sz w:val="33"/>
                <w:szCs w:val="33"/>
              </w:rPr>
              <w:t xml:space="preserve"> </w:t>
            </w:r>
          </w:p>
        </w:tc>
      </w:tr>
      <w:tr w:rsidR="00AC5C9A" w:rsidRPr="00AC5C9A">
        <w:trPr>
          <w:tblCellSpacing w:w="0" w:type="dxa"/>
          <w:jc w:val="center"/>
        </w:trPr>
        <w:tc>
          <w:tcPr>
            <w:tcW w:w="0" w:type="auto"/>
            <w:tcMar>
              <w:top w:w="150" w:type="dxa"/>
              <w:left w:w="0" w:type="dxa"/>
              <w:bottom w:w="0" w:type="dxa"/>
              <w:right w:w="0" w:type="dxa"/>
            </w:tcMar>
            <w:vAlign w:val="center"/>
            <w:hideMark/>
          </w:tcPr>
          <w:p w:rsidR="00AC5C9A" w:rsidRPr="00AC5C9A" w:rsidRDefault="00AC5C9A" w:rsidP="00AC5C9A">
            <w:pPr>
              <w:widowControl/>
              <w:spacing w:line="480" w:lineRule="auto"/>
              <w:jc w:val="center"/>
              <w:rPr>
                <w:rFonts w:ascii="ˎ̥" w:eastAsia="宋体" w:hAnsi="ˎ̥" w:cs="Arial" w:hint="eastAsia"/>
                <w:color w:val="000000"/>
                <w:kern w:val="0"/>
                <w:szCs w:val="21"/>
              </w:rPr>
            </w:pPr>
          </w:p>
        </w:tc>
      </w:tr>
      <w:tr w:rsidR="00AC5C9A" w:rsidRPr="00AC5C9A">
        <w:trPr>
          <w:tblCellSpacing w:w="0" w:type="dxa"/>
          <w:jc w:val="center"/>
        </w:trPr>
        <w:tc>
          <w:tcPr>
            <w:tcW w:w="0" w:type="auto"/>
            <w:tcMar>
              <w:top w:w="120" w:type="dxa"/>
              <w:left w:w="0" w:type="dxa"/>
              <w:bottom w:w="0" w:type="dxa"/>
              <w:right w:w="0" w:type="dxa"/>
            </w:tcMar>
            <w:vAlign w:val="center"/>
            <w:hideMark/>
          </w:tcPr>
          <w:p w:rsidR="00AC5C9A" w:rsidRPr="00AC5C9A" w:rsidRDefault="00AC5C9A" w:rsidP="00AC5C9A">
            <w:pPr>
              <w:widowControl/>
              <w:spacing w:line="360" w:lineRule="auto"/>
              <w:jc w:val="right"/>
              <w:rPr>
                <w:rFonts w:ascii="ˎ̥" w:eastAsia="宋体" w:hAnsi="ˎ̥" w:cs="Arial" w:hint="eastAsia"/>
                <w:color w:val="919191"/>
                <w:kern w:val="0"/>
                <w:szCs w:val="21"/>
              </w:rPr>
            </w:pPr>
            <w:r w:rsidRPr="00AC5C9A">
              <w:rPr>
                <w:rFonts w:ascii="ˎ̥" w:eastAsia="宋体" w:hAnsi="ˎ̥" w:cs="Arial"/>
                <w:color w:val="919191"/>
                <w:kern w:val="0"/>
                <w:szCs w:val="21"/>
              </w:rPr>
              <w:t>2002</w:t>
            </w:r>
            <w:r w:rsidRPr="00AC5C9A">
              <w:rPr>
                <w:rFonts w:ascii="ˎ̥" w:eastAsia="宋体" w:hAnsi="ˎ̥" w:cs="Arial"/>
                <w:color w:val="919191"/>
                <w:kern w:val="0"/>
                <w:szCs w:val="21"/>
              </w:rPr>
              <w:t>年</w:t>
            </w:r>
            <w:r w:rsidRPr="00AC5C9A">
              <w:rPr>
                <w:rFonts w:ascii="ˎ̥" w:eastAsia="宋体" w:hAnsi="ˎ̥" w:cs="Arial"/>
                <w:color w:val="919191"/>
                <w:kern w:val="0"/>
                <w:szCs w:val="21"/>
              </w:rPr>
              <w:t>08</w:t>
            </w:r>
            <w:r w:rsidRPr="00AC5C9A">
              <w:rPr>
                <w:rFonts w:ascii="ˎ̥" w:eastAsia="宋体" w:hAnsi="ˎ̥" w:cs="Arial"/>
                <w:color w:val="919191"/>
                <w:kern w:val="0"/>
                <w:szCs w:val="21"/>
              </w:rPr>
              <w:t>月</w:t>
            </w:r>
            <w:r w:rsidRPr="00AC5C9A">
              <w:rPr>
                <w:rFonts w:ascii="ˎ̥" w:eastAsia="宋体" w:hAnsi="ˎ̥" w:cs="Arial"/>
                <w:color w:val="919191"/>
                <w:kern w:val="0"/>
                <w:szCs w:val="21"/>
              </w:rPr>
              <w:t>15</w:t>
            </w:r>
            <w:r w:rsidRPr="00AC5C9A">
              <w:rPr>
                <w:rFonts w:ascii="ˎ̥" w:eastAsia="宋体" w:hAnsi="ˎ̥" w:cs="Arial"/>
                <w:color w:val="919191"/>
                <w:kern w:val="0"/>
                <w:szCs w:val="21"/>
              </w:rPr>
              <w:t>日</w:t>
            </w:r>
            <w:r w:rsidRPr="00AC5C9A">
              <w:rPr>
                <w:rFonts w:ascii="ˎ̥" w:eastAsia="宋体" w:hAnsi="ˎ̥" w:cs="Arial"/>
                <w:color w:val="919191"/>
                <w:kern w:val="0"/>
                <w:szCs w:val="21"/>
              </w:rPr>
              <w:t xml:space="preserve"> </w:t>
            </w:r>
            <w:r w:rsidRPr="00AC5C9A">
              <w:rPr>
                <w:rFonts w:ascii="ˎ̥" w:eastAsia="宋体" w:hAnsi="ˎ̥" w:cs="Arial"/>
                <w:color w:val="919191"/>
                <w:kern w:val="0"/>
                <w:szCs w:val="21"/>
              </w:rPr>
              <w:t>发布</w:t>
            </w:r>
            <w:r w:rsidRPr="00AC5C9A">
              <w:rPr>
                <w:rFonts w:ascii="ˎ̥" w:eastAsia="宋体" w:hAnsi="ˎ̥" w:cs="Arial"/>
                <w:color w:val="919191"/>
                <w:kern w:val="0"/>
                <w:szCs w:val="21"/>
              </w:rPr>
              <w:t xml:space="preserve"> </w:t>
            </w:r>
          </w:p>
        </w:tc>
      </w:tr>
      <w:tr w:rsidR="00AC5C9A" w:rsidRPr="00AC5C9A">
        <w:trPr>
          <w:trHeight w:val="60"/>
          <w:tblCellSpacing w:w="0" w:type="dxa"/>
          <w:jc w:val="center"/>
        </w:trPr>
        <w:tc>
          <w:tcPr>
            <w:tcW w:w="5000" w:type="pct"/>
            <w:vAlign w:val="center"/>
            <w:hideMark/>
          </w:tcPr>
          <w:p w:rsidR="00AC5C9A" w:rsidRPr="00AC5C9A" w:rsidRDefault="00AC5C9A" w:rsidP="00AC5C9A">
            <w:pPr>
              <w:widowControl/>
              <w:spacing w:line="408" w:lineRule="auto"/>
              <w:jc w:val="center"/>
              <w:rPr>
                <w:rFonts w:ascii="ˎ̥" w:eastAsia="宋体" w:hAnsi="ˎ̥" w:cs="Arial" w:hint="eastAsia"/>
                <w:color w:val="000000"/>
                <w:kern w:val="0"/>
                <w:sz w:val="6"/>
                <w:szCs w:val="18"/>
              </w:rPr>
            </w:pPr>
          </w:p>
        </w:tc>
      </w:tr>
      <w:tr w:rsidR="00AC5C9A" w:rsidRPr="00D46C71">
        <w:trPr>
          <w:tblCellSpacing w:w="0" w:type="dxa"/>
          <w:jc w:val="center"/>
        </w:trPr>
        <w:tc>
          <w:tcPr>
            <w:tcW w:w="0" w:type="auto"/>
            <w:tcMar>
              <w:top w:w="300" w:type="dxa"/>
              <w:left w:w="0" w:type="dxa"/>
              <w:bottom w:w="0" w:type="dxa"/>
              <w:right w:w="0" w:type="dxa"/>
            </w:tcMar>
            <w:vAlign w:val="center"/>
            <w:hideMark/>
          </w:tcPr>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现公布《中华人民共和国药品管理法实施条例》，自</w:t>
            </w:r>
            <w:r w:rsidRPr="00D46C71">
              <w:rPr>
                <w:rFonts w:ascii="ˎ̥" w:eastAsia="宋体" w:hAnsi="ˎ̥" w:cs="Arial"/>
                <w:color w:val="000000"/>
                <w:kern w:val="0"/>
                <w:sz w:val="28"/>
                <w:szCs w:val="28"/>
              </w:rPr>
              <w:t>2002</w:t>
            </w:r>
            <w:r w:rsidRPr="00D46C71">
              <w:rPr>
                <w:rFonts w:ascii="ˎ̥" w:eastAsia="宋体" w:hAnsi="ˎ̥" w:cs="Arial"/>
                <w:color w:val="000000"/>
                <w:kern w:val="0"/>
                <w:sz w:val="28"/>
                <w:szCs w:val="28"/>
              </w:rPr>
              <w:t>年</w:t>
            </w:r>
            <w:r w:rsidRPr="00D46C71">
              <w:rPr>
                <w:rFonts w:ascii="ˎ̥" w:eastAsia="宋体" w:hAnsi="ˎ̥" w:cs="Arial"/>
                <w:color w:val="000000"/>
                <w:kern w:val="0"/>
                <w:sz w:val="28"/>
                <w:szCs w:val="28"/>
              </w:rPr>
              <w:t>9</w:t>
            </w:r>
            <w:r w:rsidRPr="00D46C71">
              <w:rPr>
                <w:rFonts w:ascii="ˎ̥" w:eastAsia="宋体" w:hAnsi="ˎ̥" w:cs="Arial"/>
                <w:color w:val="000000"/>
                <w:kern w:val="0"/>
                <w:sz w:val="28"/>
                <w:szCs w:val="28"/>
              </w:rPr>
              <w:t>月</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日起施行。</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总理</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朱镕基</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二</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二年八月四日</w:t>
            </w:r>
            <w:r w:rsidRPr="00D46C71">
              <w:rPr>
                <w:rFonts w:ascii="ˎ̥" w:eastAsia="宋体" w:hAnsi="ˎ̥" w:cs="Arial"/>
                <w:color w:val="000000"/>
                <w:kern w:val="0"/>
                <w:sz w:val="28"/>
                <w:szCs w:val="28"/>
              </w:rPr>
              <w:br/>
              <w:t>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中华人民共和国药品管理法实施条例</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第一章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总</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则</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根据《中华人民共和国药品管理法》（以下简称《药品管理法》），制定本条例。</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国务院药品监督管理部门设置国家药品检验机构。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省、自治区、直辖市人民政府药品监督管理部门可以在本行政区域内设置药品检验机构。地方药品检验机构的设置规划由省、自治区、直辖市人民政府药品监督管理部门提出，报省、自治区、直辖市人民政府批准。</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国务院和省、自治区、直辖市人民政府的药品监督管理部门可以根据需要，确定符合药品检验条件的检验机构承担药品检验工作。</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第二章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药品生产企业管理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开办药品生产企业，应当按照下列规定办理《药品生产许可证》：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（一）申办人应当向拟办企业所在地省、自治区、直辖市人民政府药品监督管理部门提出申请。省、自治区、直辖市人民政府药品监督管理部门应当自收到申请之日起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个工作日内，按照国家发布的药品行业发展规划和产业政策进行审查，并</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是否同意筹建的决定。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（二）申办人完成拟办企业筹建后，应当向原审批部门申请验收。原审批部门应当自收到申请之日起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个工作日内，依据《药品管理法》第八条规定的开办条件组织验收；验收合格的，发给《药品生产许可证》。申办人凭《药品生产许可证》到工商行政管理部门依法办理登记注册。</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药品生产企业变更《药品生产许可证》许可事项的，应当在许可事项发生变更</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日前，向原发证机关申请《药品生产许可证》变更登记；未经批准，不得变更许可事项。原发证机关应当自收到申请之日起</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个工作日内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决定。申请人凭变更后的《药品生产许</w:t>
            </w:r>
            <w:r w:rsidRPr="00D46C71">
              <w:rPr>
                <w:rFonts w:ascii="ˎ̥" w:eastAsia="宋体" w:hAnsi="ˎ̥" w:cs="Arial"/>
                <w:color w:val="000000"/>
                <w:kern w:val="0"/>
                <w:sz w:val="28"/>
                <w:szCs w:val="28"/>
              </w:rPr>
              <w:lastRenderedPageBreak/>
              <w:t>可证》到工商行政管理部门依法办理变更登记手续。</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省级以上人民政府药品监督管理部门应当按照《药品生产质量管理规范》和国务院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《药品生产质量管理规范》认证证书的格式由国务院药品监督管理部门统一规定。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新开办药品生产企业、药品生产企业新建药品生产车间或者新增生产剂型的，应当自取得药品生产证明文件或者经批准正式生产之日起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日内，按照规定向药品监督管理部门申请《药品生产质量管理规范》认证。受理申请的药品监督管理部门应当自收到企业申请之日起</w:t>
            </w:r>
            <w:r w:rsidRPr="00D46C71">
              <w:rPr>
                <w:rFonts w:ascii="ˎ̥" w:eastAsia="宋体" w:hAnsi="ˎ̥" w:cs="Arial"/>
                <w:color w:val="000000"/>
                <w:kern w:val="0"/>
                <w:sz w:val="28"/>
                <w:szCs w:val="28"/>
              </w:rPr>
              <w:t>6</w:t>
            </w:r>
            <w:r w:rsidRPr="00D46C71">
              <w:rPr>
                <w:rFonts w:ascii="ˎ̥" w:eastAsia="宋体" w:hAnsi="ˎ̥" w:cs="Arial"/>
                <w:color w:val="000000"/>
                <w:kern w:val="0"/>
                <w:sz w:val="28"/>
                <w:szCs w:val="28"/>
              </w:rPr>
              <w:t>个月内，组织对申请企业是否符合《药品生产质量管理规范》进行认证；认证合格的，发给认证证书。</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w:t>
            </w:r>
            <w:r w:rsidRPr="00D46C71">
              <w:rPr>
                <w:rFonts w:ascii="ˎ̥" w:eastAsia="宋体" w:hAnsi="ˎ̥" w:cs="Arial"/>
                <w:color w:val="000000"/>
                <w:kern w:val="0"/>
                <w:sz w:val="28"/>
                <w:szCs w:val="28"/>
              </w:rPr>
              <w:lastRenderedPageBreak/>
              <w:t>认证检查。</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《药品生产许可证》有效期为</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年。有效期届满，需要继续生产药品的，持证企业应当在许可证有效期届满前</w:t>
            </w:r>
            <w:r w:rsidRPr="00D46C71">
              <w:rPr>
                <w:rFonts w:ascii="ˎ̥" w:eastAsia="宋体" w:hAnsi="ˎ̥" w:cs="Arial"/>
                <w:color w:val="000000"/>
                <w:kern w:val="0"/>
                <w:sz w:val="28"/>
                <w:szCs w:val="28"/>
              </w:rPr>
              <w:t>6</w:t>
            </w:r>
            <w:r w:rsidRPr="00D46C71">
              <w:rPr>
                <w:rFonts w:ascii="ˎ̥" w:eastAsia="宋体" w:hAnsi="ˎ̥" w:cs="Arial"/>
                <w:color w:val="000000"/>
                <w:kern w:val="0"/>
                <w:sz w:val="28"/>
                <w:szCs w:val="28"/>
              </w:rPr>
              <w:t>个月，按照国务院药品监督管理部门的规定申请换发《药品生产许可证》。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药品生产企业终止生产药品或者关闭的，《药品生产许可证》由原发证部门缴销。</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药品生产企业生产药品所使用的原料药，必须具有国务院药品监督管理部门核发的药品批准文号或者进口药品注册证书、医药产品注册证书；但是，未实施批准文</w:t>
            </w:r>
            <w:proofErr w:type="gramStart"/>
            <w:r w:rsidRPr="00D46C71">
              <w:rPr>
                <w:rFonts w:ascii="ˎ̥" w:eastAsia="宋体" w:hAnsi="ˎ̥" w:cs="Arial"/>
                <w:color w:val="000000"/>
                <w:kern w:val="0"/>
                <w:sz w:val="28"/>
                <w:szCs w:val="28"/>
              </w:rPr>
              <w:t>号管理</w:t>
            </w:r>
            <w:proofErr w:type="gramEnd"/>
            <w:r w:rsidRPr="00D46C71">
              <w:rPr>
                <w:rFonts w:ascii="ˎ̥" w:eastAsia="宋体" w:hAnsi="ˎ̥" w:cs="Arial"/>
                <w:color w:val="000000"/>
                <w:kern w:val="0"/>
                <w:sz w:val="28"/>
                <w:szCs w:val="28"/>
              </w:rPr>
              <w:t>的中药材、中药饮片除外。</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依据《药品管理法》第十三条规定，接受委托生产药品的，受托方必须是持有与其受托生产的药品相适应的《药品生产质量管理规范》认证证书的药品生产企业。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疫苗、血液制品和国务院药品监督管理部门规定的其他药品，不得委托生产。</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第三章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药品经营企业管理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开办药品批发企业，申办人应当向拟办企业所在地省、自治区、直辖市人民政府药品监督管理部门提出申请。省、自治区、</w:t>
            </w:r>
            <w:r w:rsidRPr="00D46C71">
              <w:rPr>
                <w:rFonts w:ascii="ˎ̥" w:eastAsia="宋体" w:hAnsi="ˎ̥" w:cs="Arial"/>
                <w:color w:val="000000"/>
                <w:kern w:val="0"/>
                <w:sz w:val="28"/>
                <w:szCs w:val="28"/>
              </w:rPr>
              <w:lastRenderedPageBreak/>
              <w:t>直辖市人民政府药品监督管理部门应当自收到申请之日起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个工作日内，依据国务院药品监督管理部门规定的设置标准</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是否同意筹建的决定。申办人完成拟办企业筹建后，应当向原审批部门申请验收。原审批部门应当自收到申请之日起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个工作日内，依据《药品管理法》第十五条规定的开办条件组织验收；符合条件的，发给《药品经营许可证》。申办人凭《药品经营许可证》到工商行政管理部门依法办理登记注册。</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个工作日内，依据国务院药品监督管理部门的规定，结合当地常住人口数量、地域、交通状况和实际需要进行审查，</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是否同意筹建的决定。申办人完成拟办企业筹建后，应当向原审批机构申请验收。原审批机构应当自收到申请之日起</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个工作日内，依据《药品管理法》第十五条规定的开办条件组织验收；符合条件的，发给《药品经营许可证》。申办人凭《药品经营许可证》到工商行政管理部门依法办理登记注册。</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省、自治区、直辖市人民政府药品监督管理部门负责组织药品经营企业的认证工作。药品经营企业应当按照国务院药品监督管理部门规定的实施办法和实施步骤，通过省、自治区、直辖市人民</w:t>
            </w:r>
            <w:r w:rsidRPr="00D46C71">
              <w:rPr>
                <w:rFonts w:ascii="ˎ̥" w:eastAsia="宋体" w:hAnsi="ˎ̥" w:cs="Arial"/>
                <w:color w:val="000000"/>
                <w:kern w:val="0"/>
                <w:sz w:val="28"/>
                <w:szCs w:val="28"/>
              </w:rPr>
              <w:lastRenderedPageBreak/>
              <w:t>政府药品监督管理部门组织的《药品经营质量管理规范》的认证，取得认证证书。《药品经营质量管理规范》认证证书的格式由国务院药品监督管理部门统一规定。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新开办药品批发企业和药品零售企业，应当自取得《药品经营许可证》之日起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日内，向发给其《药品经营许可证》的药品监督管理部门或者药品监督管理机构申请《药品经营质量管理规范》认证。受理药品零售企业认证申请的药品监督管理机构应当自收到申请之日起</w:t>
            </w:r>
            <w:r w:rsidRPr="00D46C71">
              <w:rPr>
                <w:rFonts w:ascii="ˎ̥" w:eastAsia="宋体" w:hAnsi="ˎ̥" w:cs="Arial"/>
                <w:color w:val="000000"/>
                <w:kern w:val="0"/>
                <w:sz w:val="28"/>
                <w:szCs w:val="28"/>
              </w:rPr>
              <w:t>7</w:t>
            </w:r>
            <w:r w:rsidRPr="00D46C71">
              <w:rPr>
                <w:rFonts w:ascii="ˎ̥" w:eastAsia="宋体" w:hAnsi="ˎ̥" w:cs="Arial"/>
                <w:color w:val="000000"/>
                <w:kern w:val="0"/>
                <w:sz w:val="28"/>
                <w:szCs w:val="28"/>
              </w:rPr>
              <w:t>个工作日内，将申请移送负责组织药品经营企业认证工作的省、自治区、直辖市人民政府药品监督管理部门。省、自治区、直辖市人民政府药品监督管理部门应当自收到认证申请之日起</w:t>
            </w:r>
            <w:r w:rsidRPr="00D46C71">
              <w:rPr>
                <w:rFonts w:ascii="ˎ̥" w:eastAsia="宋体" w:hAnsi="ˎ̥" w:cs="Arial"/>
                <w:color w:val="000000"/>
                <w:kern w:val="0"/>
                <w:sz w:val="28"/>
                <w:szCs w:val="28"/>
              </w:rPr>
              <w:t>3</w:t>
            </w:r>
            <w:r w:rsidRPr="00D46C71">
              <w:rPr>
                <w:rFonts w:ascii="ˎ̥" w:eastAsia="宋体" w:hAnsi="ˎ̥" w:cs="Arial"/>
                <w:color w:val="000000"/>
                <w:kern w:val="0"/>
                <w:sz w:val="28"/>
                <w:szCs w:val="28"/>
              </w:rPr>
              <w:t>个月内，按照国务院药品监督管理部门的规定，组织对申请认证的药品批发企业或者药品零售企业是否符合《药品经营质量管理规范》进行认证；认证合格的，发给认证证书。</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国家实行处方药和非处方药分类管理制度。国家根据非</w:t>
            </w:r>
            <w:r w:rsidRPr="00D46C71">
              <w:rPr>
                <w:rFonts w:ascii="ˎ̥" w:eastAsia="宋体" w:hAnsi="ˎ̥" w:cs="Arial"/>
                <w:color w:val="000000"/>
                <w:kern w:val="0"/>
                <w:sz w:val="28"/>
                <w:szCs w:val="28"/>
              </w:rPr>
              <w:lastRenderedPageBreak/>
              <w:t>处方药品的安全性，将非处方药分为甲类非处方药和乙类非处方药。</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药品经营企业变更《药品经营许可证》许可事项的，应当在许可事项发生变更</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日前，向原发证机关申请《药品经营许可证》变更登记；未经批准，不得变更许可事项。原发证机关应当自收到企业申请之日起</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个工作日内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决定。申请人凭变更后的《药品经营许可证》到工商行政管理部门依法办理变更登记手续。</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《药品经营许可证》有效期为</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年。有效期届满，需要继续经营药品的，持证企业应当在许可证有效期届满前</w:t>
            </w:r>
            <w:r w:rsidRPr="00D46C71">
              <w:rPr>
                <w:rFonts w:ascii="ˎ̥" w:eastAsia="宋体" w:hAnsi="ˎ̥" w:cs="Arial"/>
                <w:color w:val="000000"/>
                <w:kern w:val="0"/>
                <w:sz w:val="28"/>
                <w:szCs w:val="28"/>
              </w:rPr>
              <w:t>6</w:t>
            </w:r>
            <w:r w:rsidRPr="00D46C71">
              <w:rPr>
                <w:rFonts w:ascii="ˎ̥" w:eastAsia="宋体" w:hAnsi="ˎ̥" w:cs="Arial"/>
                <w:color w:val="000000"/>
                <w:kern w:val="0"/>
                <w:sz w:val="28"/>
                <w:szCs w:val="28"/>
              </w:rPr>
              <w:t>个月，按照国务院药品监督管理部门的规定申请换发《药品经营许可证》。</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药品经营企业终止经营药品或者关闭的，《药品经营许可证》由原发证机关缴销。</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交通不便的边远地区城乡集市贸易市场没有药品零售企业的，当地药品零售企业经所在地县（市）药品监督管理机构批准并到工商行政管理部门办理登记注册后，可以在该城乡集市贸易市场</w:t>
            </w:r>
            <w:r w:rsidRPr="00D46C71">
              <w:rPr>
                <w:rFonts w:ascii="ˎ̥" w:eastAsia="宋体" w:hAnsi="ˎ̥" w:cs="Arial"/>
                <w:color w:val="000000"/>
                <w:kern w:val="0"/>
                <w:sz w:val="28"/>
                <w:szCs w:val="28"/>
              </w:rPr>
              <w:lastRenderedPageBreak/>
              <w:t>内设点并在批准经营的药品范围内销售非处方药品。</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通过互联网进行药品交易的药品生产企业、药品经营企业、医疗机构及其交易的药品，必须符合《药品管理法》和本条例的规定。互联网药品交易服务的管理办法，由国务院药品监督管理部门会同国务院有关部门制定。</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第四章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医疗机构的药剂管理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省、自治区、直辖市人民政府卫生行政部门和药品监督管理部门应当在各自收到申请之日起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是否同意或者批准的决定。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医疗机构变更《医疗机构制剂许可证》许可事项的，应当在许可事项发生变更</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日前，依照本条例第二十条的规定向原审核、批准机关申请《医疗机构制剂许可证》变更登记；未经批准，不得变更许可事项。原审核、批准机关应当在各自收到申请之日起</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个工作日内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决定。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医疗机构新增配制剂型或者改变配制场所的，应当经所在地省、</w:t>
            </w:r>
            <w:r w:rsidRPr="00D46C71">
              <w:rPr>
                <w:rFonts w:ascii="ˎ̥" w:eastAsia="宋体" w:hAnsi="ˎ̥" w:cs="Arial"/>
                <w:color w:val="000000"/>
                <w:kern w:val="0"/>
                <w:sz w:val="28"/>
                <w:szCs w:val="28"/>
              </w:rPr>
              <w:lastRenderedPageBreak/>
              <w:t>自治区、直辖市人民政府药品监督管理部门验收合格后，依照前款规定办理《医疗机构制剂许可证》变更登记。</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《医疗机构制剂许可证》有效期为</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年。有效期届满，需要继续配制制剂的，医疗机构应当在许可证有效期届满前</w:t>
            </w:r>
            <w:r w:rsidRPr="00D46C71">
              <w:rPr>
                <w:rFonts w:ascii="ˎ̥" w:eastAsia="宋体" w:hAnsi="ˎ̥" w:cs="Arial"/>
                <w:color w:val="000000"/>
                <w:kern w:val="0"/>
                <w:sz w:val="28"/>
                <w:szCs w:val="28"/>
              </w:rPr>
              <w:t>6</w:t>
            </w:r>
            <w:r w:rsidRPr="00D46C71">
              <w:rPr>
                <w:rFonts w:ascii="ˎ̥" w:eastAsia="宋体" w:hAnsi="ˎ̥" w:cs="Arial"/>
                <w:color w:val="000000"/>
                <w:kern w:val="0"/>
                <w:sz w:val="28"/>
                <w:szCs w:val="28"/>
              </w:rPr>
              <w:t>个月，按照国务院药品监督管理部门的规定申请换发《医疗机构制剂许可证》。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医疗机构终止配制制剂或者关闭的，《医疗机构制剂许可证》由原发证机关缴销。</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医疗机构配制制剂，必须按照国务院药品监督管理部门的规定报送有关资料和样品，经所在地省、自治区、直辖市人民政府药品监督管理部门批准，并发给制剂批准文号后，方可配制。</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医疗机构配制的制剂不得在市场上销售或者变相销售，不得发布医疗机构制剂广告。</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发生灾情、疫情、突发事件或者临床急需而市场没有供应时，经国务院或者省、自治区、直辖市人民政府的药品监督管理部门批准，在规定期限内，医疗机构配制的制剂可以在指定的医疗机构之间调剂使用。</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国务院药品监督管理部门规定的特殊制剂的调剂使用以及省、自治区、直辖市之间医疗机构制剂的调剂使用，必须经国务院药品监督管理部门批准。</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第二十五条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医疗机构审核和调配处方的药剂人员必须是依法经资格认定的药学技术人员。</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购进药品，必须有真实、完整的药品购进记录。药品购进记录必须注明药品的通用名称、剂型、规格、批号、有效期、生产厂商、供货单位、购货数量、购进价格、购货日期以及国务院药品监督管理部门规定的其他内容。</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医疗机构向患者提供的药品应当与诊疗范围相适应，并凭执业医师或者执业助理医师的处方调配。</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计划生育技术服务机构采购和向患者提供药品，其范围应当与经批准的服务范围相一致，并凭执业医师或者执业助理医师的处方调配。</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第五章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药品管理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药物非临床安全性评价研究机构必须执行《药物非临床研究质量管理规范》，药物临床试验机构必须执行《药物临床试验质量管理规范》。《药物非临床研究质量管理规范》、《药物临床试</w:t>
            </w:r>
            <w:r w:rsidRPr="00D46C71">
              <w:rPr>
                <w:rFonts w:ascii="ˎ̥" w:eastAsia="宋体" w:hAnsi="ˎ̥" w:cs="Arial"/>
                <w:color w:val="000000"/>
                <w:kern w:val="0"/>
                <w:sz w:val="28"/>
                <w:szCs w:val="28"/>
              </w:rPr>
              <w:lastRenderedPageBreak/>
              <w:t>验质量管理规范》由国务院药品监督管理部门分别商国务院科学技术行政部门和国务院卫生行政部门制定。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第二十九条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研制新药，需要进行临床试验的，应当依照《药品管理法》第二十九条的规定，经国务院药品监督管理部门批准。</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药物临床试验机构进行药物临床试验，应当事先告知受试者或者其监护人真实情况，并取得其书面同意。</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w:t>
            </w:r>
            <w:r w:rsidRPr="00D46C71">
              <w:rPr>
                <w:rFonts w:ascii="ˎ̥" w:eastAsia="宋体" w:hAnsi="ˎ̥" w:cs="Arial"/>
                <w:color w:val="000000"/>
                <w:kern w:val="0"/>
                <w:sz w:val="28"/>
                <w:szCs w:val="28"/>
              </w:rPr>
              <w:lastRenderedPageBreak/>
              <w:t>受理申请之日起</w:t>
            </w:r>
            <w:r w:rsidRPr="00D46C71">
              <w:rPr>
                <w:rFonts w:ascii="ˎ̥" w:eastAsia="宋体" w:hAnsi="ˎ̥" w:cs="Arial"/>
                <w:color w:val="000000"/>
                <w:kern w:val="0"/>
                <w:sz w:val="28"/>
                <w:szCs w:val="28"/>
              </w:rPr>
              <w:t>30</w:t>
            </w:r>
            <w:r w:rsidRPr="00D46C71">
              <w:rPr>
                <w:rFonts w:ascii="ˎ̥" w:eastAsia="宋体" w:hAnsi="ˎ̥" w:cs="Arial"/>
                <w:color w:val="000000"/>
                <w:kern w:val="0"/>
                <w:sz w:val="28"/>
                <w:szCs w:val="28"/>
              </w:rPr>
              <w:t>个工作日内进行审查，提出意见后报送国务院药品监督管理部门审核，并同时将审查意见通知申报方。国务院药品监督管理部门经审核符合规定的，发给药品批准文号。</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生产有试行</w:t>
            </w:r>
            <w:proofErr w:type="gramStart"/>
            <w:r w:rsidRPr="00D46C71">
              <w:rPr>
                <w:rFonts w:ascii="ˎ̥" w:eastAsia="宋体" w:hAnsi="ˎ̥" w:cs="Arial"/>
                <w:color w:val="000000"/>
                <w:kern w:val="0"/>
                <w:sz w:val="28"/>
                <w:szCs w:val="28"/>
              </w:rPr>
              <w:t>期标准</w:t>
            </w:r>
            <w:proofErr w:type="gramEnd"/>
            <w:r w:rsidRPr="00D46C71">
              <w:rPr>
                <w:rFonts w:ascii="ˎ̥" w:eastAsia="宋体" w:hAnsi="ˎ̥" w:cs="Arial"/>
                <w:color w:val="000000"/>
                <w:kern w:val="0"/>
                <w:sz w:val="28"/>
                <w:szCs w:val="28"/>
              </w:rPr>
              <w:t>的药品，应当按照国务院药品监督管理部门的规定，在试行期满前</w:t>
            </w:r>
            <w:r w:rsidRPr="00D46C71">
              <w:rPr>
                <w:rFonts w:ascii="ˎ̥" w:eastAsia="宋体" w:hAnsi="ˎ̥" w:cs="Arial"/>
                <w:color w:val="000000"/>
                <w:kern w:val="0"/>
                <w:sz w:val="28"/>
                <w:szCs w:val="28"/>
              </w:rPr>
              <w:t>3</w:t>
            </w:r>
            <w:r w:rsidRPr="00D46C71">
              <w:rPr>
                <w:rFonts w:ascii="ˎ̥" w:eastAsia="宋体" w:hAnsi="ˎ̥" w:cs="Arial"/>
                <w:color w:val="000000"/>
                <w:kern w:val="0"/>
                <w:sz w:val="28"/>
                <w:szCs w:val="28"/>
              </w:rPr>
              <w:t>个月，提出转正申请；国务院药品监督管理部门应当自试行期满之日起</w:t>
            </w:r>
            <w:r w:rsidRPr="00D46C71">
              <w:rPr>
                <w:rFonts w:ascii="ˎ̥" w:eastAsia="宋体" w:hAnsi="ˎ̥" w:cs="Arial"/>
                <w:color w:val="000000"/>
                <w:kern w:val="0"/>
                <w:sz w:val="28"/>
                <w:szCs w:val="28"/>
              </w:rPr>
              <w:t>12</w:t>
            </w:r>
            <w:r w:rsidRPr="00D46C71">
              <w:rPr>
                <w:rFonts w:ascii="ˎ̥" w:eastAsia="宋体" w:hAnsi="ˎ̥" w:cs="Arial"/>
                <w:color w:val="000000"/>
                <w:kern w:val="0"/>
                <w:sz w:val="28"/>
                <w:szCs w:val="28"/>
              </w:rPr>
              <w:t>个月内对该试行</w:t>
            </w:r>
            <w:proofErr w:type="gramStart"/>
            <w:r w:rsidRPr="00D46C71">
              <w:rPr>
                <w:rFonts w:ascii="ˎ̥" w:eastAsia="宋体" w:hAnsi="ˎ̥" w:cs="Arial"/>
                <w:color w:val="000000"/>
                <w:kern w:val="0"/>
                <w:sz w:val="28"/>
                <w:szCs w:val="28"/>
              </w:rPr>
              <w:t>期标准</w:t>
            </w:r>
            <w:proofErr w:type="gramEnd"/>
            <w:r w:rsidRPr="00D46C71">
              <w:rPr>
                <w:rFonts w:ascii="ˎ̥" w:eastAsia="宋体" w:hAnsi="ˎ̥" w:cs="Arial"/>
                <w:color w:val="000000"/>
                <w:kern w:val="0"/>
                <w:sz w:val="28"/>
                <w:szCs w:val="28"/>
              </w:rPr>
              <w:t>进行审查，对符合国务院药品监督管理部门规定的转正要求的，转为正式标准；对试行标准期满未按照规定提出转正申请或者原试行标准不符合转正要求的，国务院药品监督管理部门应当撤销该试行标准和依据该试行标准生产药品的批准文号。</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变更研制新药、生产药品和进口药品已获批准证明文件及其附件中载明事项的，应当向国务院药品监督管理部门提出补充申请；国务院药品监督管理部门经审核符合规定的，应当予以批准。</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国务院药品监督管理部门根据保护公众健康的要求，可以对药品生产企业生产的新药品种设立不超过</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年的监测期；在监测期内，不得批准其他企业生产和进口。</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国家对获得生产或者销售含有新型化学成份药品许可的生产者或者销售者提交的自行取得且未披露的试验数据和其他数据实施保护，任何人不得</w:t>
            </w:r>
            <w:proofErr w:type="gramStart"/>
            <w:r w:rsidRPr="00D46C71">
              <w:rPr>
                <w:rFonts w:ascii="ˎ̥" w:eastAsia="宋体" w:hAnsi="ˎ̥" w:cs="Arial"/>
                <w:color w:val="000000"/>
                <w:kern w:val="0"/>
                <w:sz w:val="28"/>
                <w:szCs w:val="28"/>
              </w:rPr>
              <w:t>对该未披露</w:t>
            </w:r>
            <w:proofErr w:type="gramEnd"/>
            <w:r w:rsidRPr="00D46C71">
              <w:rPr>
                <w:rFonts w:ascii="ˎ̥" w:eastAsia="宋体" w:hAnsi="ˎ̥" w:cs="Arial"/>
                <w:color w:val="000000"/>
                <w:kern w:val="0"/>
                <w:sz w:val="28"/>
                <w:szCs w:val="28"/>
              </w:rPr>
              <w:t>的试验数据和其他数据进行不</w:t>
            </w:r>
            <w:r w:rsidRPr="00D46C71">
              <w:rPr>
                <w:rFonts w:ascii="ˎ̥" w:eastAsia="宋体" w:hAnsi="ˎ̥" w:cs="Arial"/>
                <w:color w:val="000000"/>
                <w:kern w:val="0"/>
                <w:sz w:val="28"/>
                <w:szCs w:val="28"/>
              </w:rPr>
              <w:lastRenderedPageBreak/>
              <w:t>正当的商业利用。</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自药品生产者或者销售者获得生产、销售新型化学成份药品的许可证明文件之日起</w:t>
            </w:r>
            <w:r w:rsidRPr="00D46C71">
              <w:rPr>
                <w:rFonts w:ascii="ˎ̥" w:eastAsia="宋体" w:hAnsi="ˎ̥" w:cs="Arial"/>
                <w:color w:val="000000"/>
                <w:kern w:val="0"/>
                <w:sz w:val="28"/>
                <w:szCs w:val="28"/>
              </w:rPr>
              <w:t>6</w:t>
            </w:r>
            <w:r w:rsidRPr="00D46C71">
              <w:rPr>
                <w:rFonts w:ascii="ˎ̥" w:eastAsia="宋体" w:hAnsi="ˎ̥" w:cs="Arial"/>
                <w:color w:val="000000"/>
                <w:kern w:val="0"/>
                <w:sz w:val="28"/>
                <w:szCs w:val="28"/>
              </w:rPr>
              <w:t>年内，对其他申请人</w:t>
            </w:r>
            <w:proofErr w:type="gramStart"/>
            <w:r w:rsidRPr="00D46C71">
              <w:rPr>
                <w:rFonts w:ascii="ˎ̥" w:eastAsia="宋体" w:hAnsi="ˎ̥" w:cs="Arial"/>
                <w:color w:val="000000"/>
                <w:kern w:val="0"/>
                <w:sz w:val="28"/>
                <w:szCs w:val="28"/>
              </w:rPr>
              <w:t>未经已</w:t>
            </w:r>
            <w:proofErr w:type="gramEnd"/>
            <w:r w:rsidRPr="00D46C71">
              <w:rPr>
                <w:rFonts w:ascii="ˎ̥" w:eastAsia="宋体" w:hAnsi="ˎ̥" w:cs="Arial"/>
                <w:color w:val="000000"/>
                <w:kern w:val="0"/>
                <w:sz w:val="28"/>
                <w:szCs w:val="28"/>
              </w:rPr>
              <w:t>获得许可的申请人同意，使用前款数据申请生产、销售新型化学成份药品许可的，药品监督管理部门不予许可；但是，其他申请人提交自行取得数据的除外。</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除下列情形外，药品监督管理部门不得披露本条第一款规定的数据：</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（一）公共利益需要；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（二）已采取措施确保该类数据不会被不正当地进行商业利用。</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进口药品，应当按照国务院药品监督管理部门的规定申请注册。国外企业生产的药品取得《进口药品注册证》，中国香港、澳门和台湾地区企业生产的药品取得《医药产品注册证》后，方可进口。</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医疗机构因临床急需进口少量药品的，应当持《医疗机构执业许可证》向国务院药品监督管理部门提出申请；经批准后，方可进口。进口的药品应当在指定医疗机构内用于特定医疗目的。</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第三十八条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口岸所在地药品监督管理部门应当通知药品检验机构对进口药品逐批进行抽查检验；但是，有《药品管理法》第四十一条规定情形的除外。</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第三十九条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国家鼓励培育中药材。对集中规模化栽培养殖、质量可以控制并符合国务院药品监督管理部门规定条件的中药材品种，实行批准文号管理。</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第四十二条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国务院药品监督管理部门核发的药品批准文号、《进口药品注册证》、《医药产品注册证》的有效期为</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年。有效期届满，需要继续生产或者进口的，应当在有效期届满前</w:t>
            </w:r>
            <w:r w:rsidRPr="00D46C71">
              <w:rPr>
                <w:rFonts w:ascii="ˎ̥" w:eastAsia="宋体" w:hAnsi="ˎ̥" w:cs="Arial"/>
                <w:color w:val="000000"/>
                <w:kern w:val="0"/>
                <w:sz w:val="28"/>
                <w:szCs w:val="28"/>
              </w:rPr>
              <w:t>6</w:t>
            </w:r>
            <w:r w:rsidRPr="00D46C71">
              <w:rPr>
                <w:rFonts w:ascii="ˎ̥" w:eastAsia="宋体" w:hAnsi="ˎ̥" w:cs="Arial"/>
                <w:color w:val="000000"/>
                <w:kern w:val="0"/>
                <w:sz w:val="28"/>
                <w:szCs w:val="28"/>
              </w:rPr>
              <w:t>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非药品不得在其包装、标签、说明书及有关宣传资料上进行含有预防、治疗、诊断人体疾病等有关内容的宣传；但是，法律、行政法规另有规定的除外。</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第六章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药品包装的管理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药品生产企业使用的直接接触药品的包装材料和容器，必须符合</w:t>
            </w:r>
            <w:proofErr w:type="gramStart"/>
            <w:r w:rsidRPr="00D46C71">
              <w:rPr>
                <w:rFonts w:ascii="ˎ̥" w:eastAsia="宋体" w:hAnsi="ˎ̥" w:cs="Arial"/>
                <w:color w:val="000000"/>
                <w:kern w:val="0"/>
                <w:sz w:val="28"/>
                <w:szCs w:val="28"/>
              </w:rPr>
              <w:t>药用要求</w:t>
            </w:r>
            <w:proofErr w:type="gramEnd"/>
            <w:r w:rsidRPr="00D46C71">
              <w:rPr>
                <w:rFonts w:ascii="ˎ̥" w:eastAsia="宋体" w:hAnsi="ˎ̥" w:cs="Arial"/>
                <w:color w:val="000000"/>
                <w:kern w:val="0"/>
                <w:sz w:val="28"/>
                <w:szCs w:val="28"/>
              </w:rPr>
              <w:t>和保障人体健康、安全的标准，并经国务院药品监督管理部门批准注册。</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直接接触药品的包装材料和容器的管理办法、产品目录和</w:t>
            </w:r>
            <w:proofErr w:type="gramStart"/>
            <w:r w:rsidRPr="00D46C71">
              <w:rPr>
                <w:rFonts w:ascii="ˎ̥" w:eastAsia="宋体" w:hAnsi="ˎ̥" w:cs="Arial"/>
                <w:color w:val="000000"/>
                <w:kern w:val="0"/>
                <w:sz w:val="28"/>
                <w:szCs w:val="28"/>
              </w:rPr>
              <w:t>药用要求</w:t>
            </w:r>
            <w:proofErr w:type="gramEnd"/>
            <w:r w:rsidRPr="00D46C71">
              <w:rPr>
                <w:rFonts w:ascii="ˎ̥" w:eastAsia="宋体" w:hAnsi="ˎ̥" w:cs="Arial"/>
                <w:color w:val="000000"/>
                <w:kern w:val="0"/>
                <w:sz w:val="28"/>
                <w:szCs w:val="28"/>
              </w:rPr>
              <w:t>与标准，由国务院药品监督管理部门组织制定并公布。</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生产中药饮片，应当选用与药品性质相适应的包装材料和容器；包装不符合规定的中药饮片，不得销售。中药饮片包装必须印有或者贴有标签。</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中药饮片的标签必须注明品名、规格、产地、生产企业、产品批号、生产日期，实施批准文</w:t>
            </w:r>
            <w:proofErr w:type="gramStart"/>
            <w:r w:rsidRPr="00D46C71">
              <w:rPr>
                <w:rFonts w:ascii="ˎ̥" w:eastAsia="宋体" w:hAnsi="ˎ̥" w:cs="Arial"/>
                <w:color w:val="000000"/>
                <w:kern w:val="0"/>
                <w:sz w:val="28"/>
                <w:szCs w:val="28"/>
              </w:rPr>
              <w:t>号管理</w:t>
            </w:r>
            <w:proofErr w:type="gramEnd"/>
            <w:r w:rsidRPr="00D46C71">
              <w:rPr>
                <w:rFonts w:ascii="ˎ̥" w:eastAsia="宋体" w:hAnsi="ˎ̥" w:cs="Arial"/>
                <w:color w:val="000000"/>
                <w:kern w:val="0"/>
                <w:sz w:val="28"/>
                <w:szCs w:val="28"/>
              </w:rPr>
              <w:t>的中药饮片还必须注明药品批准文号。</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药品包装、标签、说明书必须依照《药品管理法》第五十四条和国务院药品监督管理部门的规定印制。</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药品商品名称应当符合国务院药品监督管理部门的规定。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医疗机构配制制剂所使用的直接接触药品的包装材料和容器、制剂的标签和说明书应当符合《药品管理法》第六章和本条例的有关规定，并经省、自治区、直辖市人民政府药品监督管理部门批准。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第七章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药品价格和广告的管理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国家对药品价格实行政府定价、政府指导价或者市场调节价。</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列入国家基本医疗保险药品目录的药品以及国家基本医疗保险药品目录以外具有垄断性生产、经营的药品，实行政府定价或者政府指导价；对其他药品，实行市场调节价。</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第四十九条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依法实行政府定价、政府指导价的药品，由政府价格主管部门依照《药品管理法》第五十五条规定的原则，制定和调整价</w:t>
            </w:r>
            <w:r w:rsidRPr="00D46C71">
              <w:rPr>
                <w:rFonts w:ascii="ˎ̥" w:eastAsia="宋体" w:hAnsi="ˎ̥" w:cs="Arial"/>
                <w:color w:val="000000"/>
                <w:kern w:val="0"/>
                <w:sz w:val="28"/>
                <w:szCs w:val="28"/>
              </w:rPr>
              <w:lastRenderedPageBreak/>
              <w:t>格；其中，制定和调整药品销售价格时，应当体现对药品社会平均销售费用率、销售利润率和流通差率的控制。具体定价办法由国务院价格主管部门依照《中华人民共和国价格法》（以下简称《价格法》）的有关规定制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依法实行政府定价和政府指导价的药品价格制定后，由政府价格主管部门依照《价格法》第二十四条的规定，在指定的刊物上公布并明确该价格施行的日期。</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实行政府定价和政府指导价的药品价格，政府价格主管部门制定和调整药品价格时，应当组织药学、医学、经济学等方面专家进行评审和论证；必要时，应当听取药品生产企业、药品经营企业、医疗机构、公民以及其他有关单位及人员的意见。</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发布药品广告，应当向药品生产企业所在地省、自治区、直辖市人民政府药品监督管理部门报送有关材料。省、自治区、直辖市人民政府药品监督管理部门应当自收到有关材料之日起</w:t>
            </w:r>
            <w:r w:rsidRPr="00D46C71">
              <w:rPr>
                <w:rFonts w:ascii="ˎ̥" w:eastAsia="宋体" w:hAnsi="ˎ̥" w:cs="Arial"/>
                <w:color w:val="000000"/>
                <w:kern w:val="0"/>
                <w:sz w:val="28"/>
                <w:szCs w:val="28"/>
              </w:rPr>
              <w:t>10</w:t>
            </w:r>
            <w:r w:rsidRPr="00D46C71">
              <w:rPr>
                <w:rFonts w:ascii="ˎ̥" w:eastAsia="宋体" w:hAnsi="ˎ̥" w:cs="Arial"/>
                <w:color w:val="000000"/>
                <w:kern w:val="0"/>
                <w:sz w:val="28"/>
                <w:szCs w:val="28"/>
              </w:rPr>
              <w:t>个工作日内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是否核发药品广告批准文号的决定；核发药品广告批准文号的，应当同时报国务院药品监督管理部门备案。具体办法由国务</w:t>
            </w:r>
            <w:r w:rsidRPr="00D46C71">
              <w:rPr>
                <w:rFonts w:ascii="ˎ̥" w:eastAsia="宋体" w:hAnsi="ˎ̥" w:cs="Arial"/>
                <w:color w:val="000000"/>
                <w:kern w:val="0"/>
                <w:sz w:val="28"/>
                <w:szCs w:val="28"/>
              </w:rPr>
              <w:lastRenderedPageBreak/>
              <w:t>院药品监督管理部门制定。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发布进口药品广告，应当依照前款规定向进口药品代理机构所在地省、自治区、直辖市人民政府药品监督管理部门申请药品广告批准文号。</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经国务院或者省、自治区、直辖市人民政府的药品监督管理部门决定，责令暂停生产、销售和使用的药品，在暂停期间不得发布该品种药品广告；已经发布广告的，必须立即停止。</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对违法发布药品广告，情节严重的，省、自治区、直辖市人民政府药品监督管理部门可以予以公告。</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药品监督</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第五十六条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药品监督管理部门（含省级人民政府药品监督管理部门依法设立的药品监督管理机构，下同）依法对药品的研制、生产、经营、使用实施监督检查。</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药品抽样必须由两名以上药品监督检查人员实施，并按照国务院药品监督管理部门的规定进行抽样；被抽检方应当提供抽检样品，不得拒绝。</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药品被抽检单位没有正当理由，拒绝抽查检验的，国务院药品监督管理部门和被抽检单位所在地省、自治区、直辖市人民政府药品监督管理部门可以宣布停止该单位拒绝抽检的药品上市销售和使用。</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对有掺杂、掺假嫌疑的药品，在国家药品标准规定的检验方法和检验项目不能检验时，药品检验机构可以补充检验方法和检验项目进行药品检验；经国务院药品监督管理部门批准后，使用补充检验方法和检验项目所得出的检验结果，可以作为药品监督管理部门认定药品质量的依据。</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第五十九条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日内，在原公告范围内予以更正。</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当事人对药品检验机构的检验结果有异议，申请复验的，应当向负责复验的药品检验机构提交书面申请、原药品检验报告书。复验的样品从原药品检验机构留样中抽取。</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药品监督管理部门依法对有证据证明可能危害人体健康的药品及其有关证据材料采取查封、扣押的行政强制措施的，应当自采取行政强制措施之日起</w:t>
            </w:r>
            <w:r w:rsidRPr="00D46C71">
              <w:rPr>
                <w:rFonts w:ascii="ˎ̥" w:eastAsia="宋体" w:hAnsi="ˎ̥" w:cs="Arial"/>
                <w:color w:val="000000"/>
                <w:kern w:val="0"/>
                <w:sz w:val="28"/>
                <w:szCs w:val="28"/>
              </w:rPr>
              <w:t>7</w:t>
            </w:r>
            <w:r w:rsidRPr="00D46C71">
              <w:rPr>
                <w:rFonts w:ascii="ˎ̥" w:eastAsia="宋体" w:hAnsi="ˎ̥" w:cs="Arial"/>
                <w:color w:val="000000"/>
                <w:kern w:val="0"/>
                <w:sz w:val="28"/>
                <w:szCs w:val="28"/>
              </w:rPr>
              <w:t>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是否立案的决定；需要检验的，应当自检验报告书发出之日起</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日内</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是否立案的决定；不符合立案条件的，应当解除行政强制措施；需要暂停销售和使用的，应当由国务院或者省、自治区、直辖市人民政府的药品监督管理部门</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决定。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药品抽查检验，不得收取任何费用。</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依据《药品管理法》和本条例的规定核发证书、进行药品注册、药品认证和实施药品审批检验及其强制性检验，可以收取费用。具体收费标准由国务院财政部门、国务院价格主管部门制定。</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第九章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法律责任</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药品生产企业、药品经营企业有下列情形之一的，由药品监督管理部门依照《药品管理法》第七十九条的规定给予处罚：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（一）开办药品生产企业、药品生产企业新建药品生产车间、新增生产剂型，在国务院药品监督管理部门规定的时间内未通过《药品生产质量管理规范》认证，仍进行药品生产的；</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（二）开办药品经营企业，在国务院药品监督管理部门规定的时间内未通过《药品经营质量管理规范》认证，仍进行药品经营的。</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违反《药品管理法》第十三条的规定，擅自委托或者接受委托生产药品的，对委托方和受托方均依照《药品管理法》第七十四条的规定给予处罚。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未经批准，擅自在城乡集市贸易市场设点销售药品或者在城乡集市贸易市场设点销售的药品超出批准经营的药品范围的，依照《药品管理法》第七十三条的规定给予处罚。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未经批准，医疗机构擅自使用其他医疗机构配制的制剂的，依照《药品管理法》第八十条的规定给予处罚。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个人设置的门诊部、诊所等医疗机构向患者提供的药</w:t>
            </w:r>
            <w:r w:rsidRPr="00D46C71">
              <w:rPr>
                <w:rFonts w:ascii="ˎ̥" w:eastAsia="宋体" w:hAnsi="ˎ̥" w:cs="Arial"/>
                <w:color w:val="000000"/>
                <w:kern w:val="0"/>
                <w:sz w:val="28"/>
                <w:szCs w:val="28"/>
              </w:rPr>
              <w:lastRenderedPageBreak/>
              <w:t>品超出规定的范围和品种的，依照《药品管理法》第七十三条的规定给予处罚。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医疗机构使用假药、劣药的，依照《药品管理法》第七十四条、第七十五条的规定给予处罚。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第六十九条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违反《药品管理法》第二十九条的规定，擅自进行临床试验的，对承担药物临床试验的机构，依照《药品管理法》第七十九条的规定给予处罚。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药品申报者在申报临床试验时，报送虚假研制方法、质量标准、药理及毒理试验结果等有关资料和样品的，国务院药品监督管理部门对该申报药品的临床试验不予批准，对药品申报者给予警告；情节严重的，</w:t>
            </w:r>
            <w:r w:rsidRPr="00D46C71">
              <w:rPr>
                <w:rFonts w:ascii="ˎ̥" w:eastAsia="宋体" w:hAnsi="ˎ̥" w:cs="Arial"/>
                <w:color w:val="000000"/>
                <w:kern w:val="0"/>
                <w:sz w:val="28"/>
                <w:szCs w:val="28"/>
              </w:rPr>
              <w:t>3</w:t>
            </w:r>
            <w:r w:rsidRPr="00D46C71">
              <w:rPr>
                <w:rFonts w:ascii="ˎ̥" w:eastAsia="宋体" w:hAnsi="ˎ̥" w:cs="Arial"/>
                <w:color w:val="000000"/>
                <w:kern w:val="0"/>
                <w:sz w:val="28"/>
                <w:szCs w:val="28"/>
              </w:rPr>
              <w:t>年内不受理该药品申报者申报该品种的临床试验申请。</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药品监督管理部门及其工作人员违反规定，泄露生产者、销售者为获得生产、销售含有新型化学成份药品许可而提交的未披露试验数据或者其他数据，造成申请人损失的，由药品监督管理部</w:t>
            </w:r>
            <w:r w:rsidRPr="00D46C71">
              <w:rPr>
                <w:rFonts w:ascii="ˎ̥" w:eastAsia="宋体" w:hAnsi="ˎ̥" w:cs="Arial"/>
                <w:color w:val="000000"/>
                <w:kern w:val="0"/>
                <w:sz w:val="28"/>
                <w:szCs w:val="28"/>
              </w:rPr>
              <w:lastRenderedPageBreak/>
              <w:t>门依法承担赔偿责任；药品监督管理部门赔偿损失后，应当责令故意或者有重大过失的工作人员承担部分或者全部赔偿费用，并对直接责任人员依法给予行政处分。</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药品生产企业、药品经营企业生产、经营的药品及医疗机构配制的制剂，其包装、标签、说明书违反《药品管理法》及本条例规定的，依照《药品管理法》第八十六条的规定给予处罚。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药品生产企业、药品经营企业和医疗机构变更药品生产经营许可事项，应当办理变更登记手续而未办理的，由原发证部门给予警告，责令限期补办变更登记手续；逾期</w:t>
            </w:r>
            <w:proofErr w:type="gramStart"/>
            <w:r w:rsidRPr="00D46C71">
              <w:rPr>
                <w:rFonts w:ascii="ˎ̥" w:eastAsia="宋体" w:hAnsi="ˎ̥" w:cs="Arial"/>
                <w:color w:val="000000"/>
                <w:kern w:val="0"/>
                <w:sz w:val="28"/>
                <w:szCs w:val="28"/>
              </w:rPr>
              <w:t>不</w:t>
            </w:r>
            <w:proofErr w:type="gramEnd"/>
            <w:r w:rsidRPr="00D46C71">
              <w:rPr>
                <w:rFonts w:ascii="ˎ̥" w:eastAsia="宋体" w:hAnsi="ˎ̥" w:cs="Arial"/>
                <w:color w:val="000000"/>
                <w:kern w:val="0"/>
                <w:sz w:val="28"/>
                <w:szCs w:val="28"/>
              </w:rPr>
              <w:t>补办的，宣布其《药品生产许可证》、《药品经营许可证》和《医疗机构制剂许可证》无效；仍从事药品生产经营活动的，依照《药品管理法》第七十三条的规定给予处罚。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违反本条例第四十八条、第四十九条、第五十条、第五十一条、第五十二条关于药品价格管理的规定的，依照《价格法》的有关规定给予处罚。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篡改经批准的药品广告内容的，由药品监督管理部门责令广告</w:t>
            </w:r>
            <w:proofErr w:type="gramStart"/>
            <w:r w:rsidRPr="00D46C71">
              <w:rPr>
                <w:rFonts w:ascii="ˎ̥" w:eastAsia="宋体" w:hAnsi="ˎ̥" w:cs="Arial"/>
                <w:color w:val="000000"/>
                <w:kern w:val="0"/>
                <w:sz w:val="28"/>
                <w:szCs w:val="28"/>
              </w:rPr>
              <w:t>主立即</w:t>
            </w:r>
            <w:proofErr w:type="gramEnd"/>
            <w:r w:rsidRPr="00D46C71">
              <w:rPr>
                <w:rFonts w:ascii="ˎ̥" w:eastAsia="宋体" w:hAnsi="ˎ̥" w:cs="Arial"/>
                <w:color w:val="000000"/>
                <w:kern w:val="0"/>
                <w:sz w:val="28"/>
                <w:szCs w:val="28"/>
              </w:rPr>
              <w:t>停止该药品广告的发布，并由原审批的药品监督管理部门依照《药品管理法》第九十二条的规定给予处罚。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药品监督管理部门撤销药品广告批准文号后，应当自</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行政处理决定之日起</w:t>
            </w:r>
            <w:r w:rsidRPr="00D46C71">
              <w:rPr>
                <w:rFonts w:ascii="ˎ̥" w:eastAsia="宋体" w:hAnsi="ˎ̥" w:cs="Arial"/>
                <w:color w:val="000000"/>
                <w:kern w:val="0"/>
                <w:sz w:val="28"/>
                <w:szCs w:val="28"/>
              </w:rPr>
              <w:t>5</w:t>
            </w:r>
            <w:r w:rsidRPr="00D46C71">
              <w:rPr>
                <w:rFonts w:ascii="ˎ̥" w:eastAsia="宋体" w:hAnsi="ˎ̥" w:cs="Arial"/>
                <w:color w:val="000000"/>
                <w:kern w:val="0"/>
                <w:sz w:val="28"/>
                <w:szCs w:val="28"/>
              </w:rPr>
              <w:t>个工作日内通知广告监督管理机关。广告监督管理机</w:t>
            </w:r>
            <w:r w:rsidRPr="00D46C71">
              <w:rPr>
                <w:rFonts w:ascii="ˎ̥" w:eastAsia="宋体" w:hAnsi="ˎ̥" w:cs="Arial"/>
                <w:color w:val="000000"/>
                <w:kern w:val="0"/>
                <w:sz w:val="28"/>
                <w:szCs w:val="28"/>
              </w:rPr>
              <w:lastRenderedPageBreak/>
              <w:t>关应当自收到药品监督管理部门通知之日起</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个工作日内，依照《中华人民共和国广告法》的有关规定</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行政处理决定。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第七十七条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发布药品广告的企业在药品生产企业所在地或者进口药品代理机构所在地以外的省、自治区、直辖市发布药品广告，未按照规定向发布地省、自治区、直辖市人民政府药品监督管理部门备案的，由发布地的药品监督管理部门责令限期改正；逾期不改正的，停止该药品品种在发布地的广告发布活动。</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第七十八条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未经省、自治区、直辖市人民政府药品监督管理部门批准，擅自发布药品广告的，药品监督管理部门发现后，应当通知广告监督管理部门依法查处。</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第七十九条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违反《药品管理法》和本条例的规定，有下列行为之一的，由药品监督管理部门在《药品管理法》和本条例规定的处罚幅度内从重处罚：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（一）以麻醉药品、精神药品、医疗用毒性药品、放射性药品冒充其他药品，或者以其他药品冒充上述药品的；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（二）生产、</w:t>
            </w:r>
            <w:proofErr w:type="gramStart"/>
            <w:r w:rsidRPr="00D46C71">
              <w:rPr>
                <w:rFonts w:ascii="ˎ̥" w:eastAsia="宋体" w:hAnsi="ˎ̥" w:cs="Arial"/>
                <w:color w:val="000000"/>
                <w:kern w:val="0"/>
                <w:sz w:val="28"/>
                <w:szCs w:val="28"/>
              </w:rPr>
              <w:t>销售以孕产妇</w:t>
            </w:r>
            <w:proofErr w:type="gramEnd"/>
            <w:r w:rsidRPr="00D46C71">
              <w:rPr>
                <w:rFonts w:ascii="ˎ̥" w:eastAsia="宋体" w:hAnsi="ˎ̥" w:cs="Arial"/>
                <w:color w:val="000000"/>
                <w:kern w:val="0"/>
                <w:sz w:val="28"/>
                <w:szCs w:val="28"/>
              </w:rPr>
              <w:t>、婴幼儿及儿童为主要使用对象的假药、劣药的；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（三）生产、销售的生物制品、血液制品属于假药、劣药的；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（四）生产、销售、使用假药、劣药，造成人员伤害后果的；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（五）生产、销售、使用假药、劣药，经处理后重犯的；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（六）拒绝、逃避监督检查，或者伪造、销毁、隐匿有关证据材料的，或者擅自动用查封、扣押物品的。</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药品监督管理部门设置的派出机构，有权</w:t>
            </w:r>
            <w:proofErr w:type="gramStart"/>
            <w:r w:rsidRPr="00D46C71">
              <w:rPr>
                <w:rFonts w:ascii="ˎ̥" w:eastAsia="宋体" w:hAnsi="ˎ̥" w:cs="Arial"/>
                <w:color w:val="000000"/>
                <w:kern w:val="0"/>
                <w:sz w:val="28"/>
                <w:szCs w:val="28"/>
              </w:rPr>
              <w:t>作出</w:t>
            </w:r>
            <w:proofErr w:type="gramEnd"/>
            <w:r w:rsidRPr="00D46C71">
              <w:rPr>
                <w:rFonts w:ascii="ˎ̥" w:eastAsia="宋体" w:hAnsi="ˎ̥" w:cs="Arial"/>
                <w:color w:val="000000"/>
                <w:kern w:val="0"/>
                <w:sz w:val="28"/>
                <w:szCs w:val="28"/>
              </w:rPr>
              <w:t>《药品管理法》和本条例规定的警告、罚款、没收违法生产、销售的药品和违法所得的行政处罚。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第八十一条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经营企业、医疗机构未违反《药品管理法》和本条例的有关规定，并有充分证据证明其不知道所销售或者使用的药品是假药、劣药的，应当没收其销售或者使用的假药、劣药和违法所得；但是，可以免除其他行政处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第八十二条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依照《药品管理法》和本条例的规定没收的物品，由药品监督管理部门按照规定监督处理。</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第十章</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附</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则</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第八十三条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本条例下列用语的含义：</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药品合格证明和其他标识，是指药品生产批准证明文件、药品检验报告书、药品的包装、标签和说明书。</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新药，是指未曾在中国境内上市销售的药品。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处方药，是指凭执业医师和执业助理医师处方</w:t>
            </w:r>
            <w:proofErr w:type="gramStart"/>
            <w:r w:rsidRPr="00D46C71">
              <w:rPr>
                <w:rFonts w:ascii="ˎ̥" w:eastAsia="宋体" w:hAnsi="ˎ̥" w:cs="Arial"/>
                <w:color w:val="000000"/>
                <w:kern w:val="0"/>
                <w:sz w:val="28"/>
                <w:szCs w:val="28"/>
              </w:rPr>
              <w:t>方</w:t>
            </w:r>
            <w:proofErr w:type="gramEnd"/>
            <w:r w:rsidRPr="00D46C71">
              <w:rPr>
                <w:rFonts w:ascii="ˎ̥" w:eastAsia="宋体" w:hAnsi="ˎ̥" w:cs="Arial"/>
                <w:color w:val="000000"/>
                <w:kern w:val="0"/>
                <w:sz w:val="28"/>
                <w:szCs w:val="28"/>
              </w:rPr>
              <w:t>可购买、调配和使用的药品。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r>
            <w:r w:rsidRPr="00D46C71">
              <w:rPr>
                <w:rFonts w:ascii="ˎ̥" w:eastAsia="宋体" w:hAnsi="ˎ̥" w:cs="Arial"/>
                <w:color w:val="000000"/>
                <w:kern w:val="0"/>
                <w:sz w:val="28"/>
                <w:szCs w:val="28"/>
              </w:rPr>
              <w:lastRenderedPageBreak/>
              <w:t xml:space="preserve">    </w:t>
            </w:r>
            <w:r w:rsidRPr="00D46C71">
              <w:rPr>
                <w:rFonts w:ascii="ˎ̥" w:eastAsia="宋体" w:hAnsi="ˎ̥" w:cs="Arial"/>
                <w:color w:val="000000"/>
                <w:kern w:val="0"/>
                <w:sz w:val="28"/>
                <w:szCs w:val="28"/>
              </w:rPr>
              <w:t>非处方药，是指由国务院药品监督管理部门公布的，不需要凭执业医师和执业助理医师处方，消费者可以自行判断、购买和使用的药品。</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医疗机构制剂，是指医疗机构根据本单位临床需要经批准而配制、自用的固定处方制剂。</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药品认证，是指药品监督管理部门对药品研制、生产、经营、使用单位实施相应质量管理规范进行检查、评价并决定是否发给相应认证证书的过程。</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药品经营方式，是指药品批发和药品零售。</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药品经营范围，是指经药品监督管理部门核准经营药品的品种类别。</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药品批发企业，是指将购进的药品销售给药品生产企业、药品经营企业、医疗机构的药品经营企业。</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br/>
              <w:t xml:space="preserve">    </w:t>
            </w:r>
            <w:r w:rsidRPr="00D46C71">
              <w:rPr>
                <w:rFonts w:ascii="ˎ̥" w:eastAsia="宋体" w:hAnsi="ˎ̥" w:cs="Arial"/>
                <w:color w:val="000000"/>
                <w:kern w:val="0"/>
                <w:sz w:val="28"/>
                <w:szCs w:val="28"/>
              </w:rPr>
              <w:t>药品零售企业，是指将购进的药品直接销售给消费者的药品经营企业。</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第八十四条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《药品管理法》第四十一条中</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首次在中国销售的药品</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，是指国内或者国外药品生产企业第一次在中国销售的药品，包括不同药品生产企业生产的相同品种。</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第八十五条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《药品管理法》第五十九条第二款</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禁止药品的生产企业、经营企业或者其代理人以任何名义给予使用其药品的医疗机构</w:t>
            </w:r>
            <w:r w:rsidRPr="00D46C71">
              <w:rPr>
                <w:rFonts w:ascii="ˎ̥" w:eastAsia="宋体" w:hAnsi="ˎ̥" w:cs="Arial"/>
                <w:color w:val="000000"/>
                <w:kern w:val="0"/>
                <w:sz w:val="28"/>
                <w:szCs w:val="28"/>
              </w:rPr>
              <w:lastRenderedPageBreak/>
              <w:t>的负责人、药品采购人员、医师等有关人员以财物或者其他利益</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中的</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财物或者其他利益</w:t>
            </w:r>
            <w:r w:rsidRPr="00D46C71">
              <w:rPr>
                <w:rFonts w:ascii="ˎ̥" w:eastAsia="宋体" w:hAnsi="ˎ̥" w:cs="Arial"/>
                <w:color w:val="000000"/>
                <w:kern w:val="0"/>
                <w:sz w:val="28"/>
                <w:szCs w:val="28"/>
              </w:rPr>
              <w:t>”</w:t>
            </w:r>
            <w:r w:rsidRPr="00D46C71">
              <w:rPr>
                <w:rFonts w:ascii="ˎ̥" w:eastAsia="宋体" w:hAnsi="ˎ̥" w:cs="Arial"/>
                <w:color w:val="000000"/>
                <w:kern w:val="0"/>
                <w:sz w:val="28"/>
                <w:szCs w:val="28"/>
              </w:rPr>
              <w:t>，是指药品的生产企业、经营企业或者其代理人向医疗机构的负责人、药品采购人员、医师等有关人员提供的目的在于影响其药品采购或者药品处方行为的不正当利益。</w:t>
            </w:r>
            <w:r w:rsidRPr="00D46C71">
              <w:rPr>
                <w:rFonts w:ascii="ˎ̥" w:eastAsia="宋体" w:hAnsi="ˎ̥" w:cs="Arial"/>
                <w:color w:val="000000"/>
                <w:kern w:val="0"/>
                <w:sz w:val="28"/>
                <w:szCs w:val="28"/>
              </w:rPr>
              <w:t xml:space="preserve"> </w:t>
            </w:r>
          </w:p>
          <w:p w:rsidR="00AC5C9A" w:rsidRPr="00D46C71" w:rsidRDefault="00AC5C9A" w:rsidP="00AC5C9A">
            <w:pPr>
              <w:widowControl/>
              <w:wordWrap w:val="0"/>
              <w:spacing w:before="100" w:beforeAutospacing="1" w:after="100" w:afterAutospacing="1" w:line="480" w:lineRule="auto"/>
              <w:jc w:val="left"/>
              <w:rPr>
                <w:rFonts w:ascii="ˎ̥" w:eastAsia="宋体" w:hAnsi="ˎ̥" w:cs="Arial" w:hint="eastAsia"/>
                <w:color w:val="000000"/>
                <w:kern w:val="0"/>
                <w:sz w:val="28"/>
                <w:szCs w:val="28"/>
              </w:rPr>
            </w:pP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第八十六条</w:t>
            </w:r>
            <w:r w:rsidRPr="00D46C71">
              <w:rPr>
                <w:rFonts w:ascii="ˎ̥" w:eastAsia="宋体" w:hAnsi="ˎ̥" w:cs="Arial"/>
                <w:color w:val="000000"/>
                <w:kern w:val="0"/>
                <w:sz w:val="28"/>
                <w:szCs w:val="28"/>
              </w:rPr>
              <w:t xml:space="preserve"> </w:t>
            </w:r>
            <w:r w:rsidRPr="00D46C71">
              <w:rPr>
                <w:rFonts w:ascii="ˎ̥" w:eastAsia="宋体" w:hAnsi="ˎ̥" w:cs="Arial"/>
                <w:color w:val="000000"/>
                <w:kern w:val="0"/>
                <w:sz w:val="28"/>
                <w:szCs w:val="28"/>
              </w:rPr>
              <w:t>本条例自</w:t>
            </w:r>
            <w:r w:rsidRPr="00D46C71">
              <w:rPr>
                <w:rFonts w:ascii="ˎ̥" w:eastAsia="宋体" w:hAnsi="ˎ̥" w:cs="Arial"/>
                <w:color w:val="000000"/>
                <w:kern w:val="0"/>
                <w:sz w:val="28"/>
                <w:szCs w:val="28"/>
              </w:rPr>
              <w:t>2002</w:t>
            </w:r>
            <w:r w:rsidRPr="00D46C71">
              <w:rPr>
                <w:rFonts w:ascii="ˎ̥" w:eastAsia="宋体" w:hAnsi="ˎ̥" w:cs="Arial"/>
                <w:color w:val="000000"/>
                <w:kern w:val="0"/>
                <w:sz w:val="28"/>
                <w:szCs w:val="28"/>
              </w:rPr>
              <w:t>年</w:t>
            </w:r>
            <w:r w:rsidRPr="00D46C71">
              <w:rPr>
                <w:rFonts w:ascii="ˎ̥" w:eastAsia="宋体" w:hAnsi="ˎ̥" w:cs="Arial"/>
                <w:color w:val="000000"/>
                <w:kern w:val="0"/>
                <w:sz w:val="28"/>
                <w:szCs w:val="28"/>
              </w:rPr>
              <w:t>9</w:t>
            </w:r>
            <w:r w:rsidRPr="00D46C71">
              <w:rPr>
                <w:rFonts w:ascii="ˎ̥" w:eastAsia="宋体" w:hAnsi="ˎ̥" w:cs="Arial"/>
                <w:color w:val="000000"/>
                <w:kern w:val="0"/>
                <w:sz w:val="28"/>
                <w:szCs w:val="28"/>
              </w:rPr>
              <w:t>月</w:t>
            </w:r>
            <w:r w:rsidRPr="00D46C71">
              <w:rPr>
                <w:rFonts w:ascii="ˎ̥" w:eastAsia="宋体" w:hAnsi="ˎ̥" w:cs="Arial"/>
                <w:color w:val="000000"/>
                <w:kern w:val="0"/>
                <w:sz w:val="28"/>
                <w:szCs w:val="28"/>
              </w:rPr>
              <w:t>15</w:t>
            </w:r>
            <w:r w:rsidRPr="00D46C71">
              <w:rPr>
                <w:rFonts w:ascii="ˎ̥" w:eastAsia="宋体" w:hAnsi="ˎ̥" w:cs="Arial"/>
                <w:color w:val="000000"/>
                <w:kern w:val="0"/>
                <w:sz w:val="28"/>
                <w:szCs w:val="28"/>
              </w:rPr>
              <w:t>日起施行。</w:t>
            </w:r>
          </w:p>
        </w:tc>
      </w:tr>
    </w:tbl>
    <w:p w:rsidR="009D734C" w:rsidRPr="00D46C71" w:rsidRDefault="009D734C">
      <w:pPr>
        <w:rPr>
          <w:sz w:val="28"/>
          <w:szCs w:val="28"/>
        </w:rPr>
      </w:pPr>
    </w:p>
    <w:sectPr w:rsidR="009D734C" w:rsidRPr="00D46C71" w:rsidSect="00856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B6" w:rsidRDefault="006007B6" w:rsidP="00AC5C9A">
      <w:r>
        <w:separator/>
      </w:r>
    </w:p>
  </w:endnote>
  <w:endnote w:type="continuationSeparator" w:id="0">
    <w:p w:rsidR="006007B6" w:rsidRDefault="006007B6" w:rsidP="00AC5C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B6" w:rsidRDefault="006007B6" w:rsidP="00AC5C9A">
      <w:r>
        <w:separator/>
      </w:r>
    </w:p>
  </w:footnote>
  <w:footnote w:type="continuationSeparator" w:id="0">
    <w:p w:rsidR="006007B6" w:rsidRDefault="006007B6" w:rsidP="00AC5C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5C9A"/>
    <w:rsid w:val="0043143C"/>
    <w:rsid w:val="006007B6"/>
    <w:rsid w:val="008563DA"/>
    <w:rsid w:val="009D734C"/>
    <w:rsid w:val="00AC5C9A"/>
    <w:rsid w:val="00D46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5C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5C9A"/>
    <w:rPr>
      <w:sz w:val="18"/>
      <w:szCs w:val="18"/>
    </w:rPr>
  </w:style>
  <w:style w:type="paragraph" w:styleId="a4">
    <w:name w:val="footer"/>
    <w:basedOn w:val="a"/>
    <w:link w:val="Char0"/>
    <w:uiPriority w:val="99"/>
    <w:semiHidden/>
    <w:unhideWhenUsed/>
    <w:rsid w:val="00AC5C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5C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dc:creator>
  <cp:keywords/>
  <dc:description/>
  <cp:lastModifiedBy>T</cp:lastModifiedBy>
  <cp:revision>4</cp:revision>
  <dcterms:created xsi:type="dcterms:W3CDTF">2014-09-04T07:30:00Z</dcterms:created>
  <dcterms:modified xsi:type="dcterms:W3CDTF">2019-04-28T08:31:00Z</dcterms:modified>
</cp:coreProperties>
</file>